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BE" w:rsidRDefault="00CA60B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7 декабря 2021 г. N 66211</w:t>
      </w:r>
    </w:p>
    <w:p w:rsidR="00CA60BE" w:rsidRDefault="00CA60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</w:pPr>
      <w:r>
        <w:t>МИНИСТЕРСТВО ПРОСВЕЩЕНИЯ РОССИЙСКОЙ ФЕДЕРАЦИИ</w:t>
      </w:r>
    </w:p>
    <w:p w:rsidR="00CA60BE" w:rsidRDefault="00CA60BE">
      <w:pPr>
        <w:pStyle w:val="ConsPlusTitle"/>
        <w:jc w:val="center"/>
      </w:pPr>
    </w:p>
    <w:p w:rsidR="00CA60BE" w:rsidRDefault="00CA60BE">
      <w:pPr>
        <w:pStyle w:val="ConsPlusTitle"/>
        <w:jc w:val="center"/>
      </w:pPr>
      <w:r>
        <w:t>ПРИКАЗ</w:t>
      </w:r>
    </w:p>
    <w:p w:rsidR="00CA60BE" w:rsidRDefault="00CA60BE">
      <w:pPr>
        <w:pStyle w:val="ConsPlusTitle"/>
        <w:jc w:val="center"/>
      </w:pPr>
      <w:r>
        <w:t>от 8 ноября 2021 г. N 800</w:t>
      </w:r>
    </w:p>
    <w:p w:rsidR="00CA60BE" w:rsidRDefault="00CA60BE">
      <w:pPr>
        <w:pStyle w:val="ConsPlusTitle"/>
        <w:jc w:val="center"/>
      </w:pPr>
    </w:p>
    <w:p w:rsidR="00CA60BE" w:rsidRDefault="00CA60BE">
      <w:pPr>
        <w:pStyle w:val="ConsPlusTitle"/>
        <w:jc w:val="center"/>
      </w:pPr>
      <w:r>
        <w:t>ОБ УТВЕРЖДЕНИИ ПОРЯДКА</w:t>
      </w:r>
    </w:p>
    <w:p w:rsidR="00CA60BE" w:rsidRDefault="00CA60BE">
      <w:pPr>
        <w:pStyle w:val="ConsPlusTitle"/>
        <w:jc w:val="center"/>
      </w:pPr>
      <w:r>
        <w:t>ПРОВЕДЕНИЯ ГОСУДАРСТВЕННОЙ ИТОГОВОЙ АТТЕСТАЦИИ</w:t>
      </w:r>
    </w:p>
    <w:p w:rsidR="00CA60BE" w:rsidRDefault="00CA60BE">
      <w:pPr>
        <w:pStyle w:val="ConsPlusTitle"/>
        <w:jc w:val="center"/>
      </w:pPr>
      <w:r>
        <w:t>ПО ОБРАЗОВАТЕЛЬНЫМ ПРОГРАММАМ СРЕДНЕГО</w:t>
      </w:r>
    </w:p>
    <w:p w:rsidR="00CA60BE" w:rsidRDefault="00CA60BE">
      <w:pPr>
        <w:pStyle w:val="ConsPlusTitle"/>
        <w:jc w:val="center"/>
      </w:pPr>
      <w:r>
        <w:t>ПРОФЕССИОНАЛЬНОГО ОБРАЗОВАНИЯ</w:t>
      </w:r>
    </w:p>
    <w:p w:rsidR="00CA60BE" w:rsidRDefault="00CA60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0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0BE" w:rsidRDefault="00CA60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0BE" w:rsidRDefault="00CA60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05.05.2022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</w:tr>
    </w:tbl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4134),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4.2.25(1)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Студенты (курсанты), завершающие освоение имеющих государственную аккредитацию образовательных программ среднего профессионального образования в период с 1 сентября 2022 г. до 1 марта 2023 г., проходят государственную итоговую аттестацию по образовательным программам среднего профессионального образования в формах государственной итоговой аттестации, предусмотренных программой государственной итоговой аттестации, утвержденной образовательной организацией до 1 сентября 2022 г.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</w:t>
      </w:r>
      <w:proofErr w:type="gramEnd"/>
      <w:r>
        <w:t xml:space="preserve"> </w:t>
      </w:r>
      <w:proofErr w:type="gramStart"/>
      <w:r>
        <w:t>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 (зарегистрирован Министерством юстиции Российской Федерации 1 ноября 2013 г., регистрационный N 30306), с изменениями, внесенными приказами Министерства образования и науки Российской Федерации от 31 января 2014 г. N 74 (зарегистрирован Министерством юстиции Российской Федерации 5 марта 2014 г., регистрационный</w:t>
      </w:r>
      <w:proofErr w:type="gramEnd"/>
      <w:r>
        <w:t xml:space="preserve"> </w:t>
      </w:r>
      <w:proofErr w:type="gramStart"/>
      <w:r>
        <w:t>N 31524), от 17 ноября 2017 г. N 1138 (зарегистрирован Министерством юстиции Российской Федерации 12 декабря 2017 г., регистрационный N 49221) и приказом Министерства просвещения Российской Федерации от 10 ноября 2020 г. N 630 (зарегистрирован Министерством юстиции Российской Федерации 1 декабря 2020 г., регистрационный N 61179).</w:t>
      </w:r>
      <w:proofErr w:type="gramEnd"/>
    </w:p>
    <w:p w:rsidR="00CA60BE" w:rsidRDefault="00CA60BE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3</w:t>
        </w:r>
      </w:hyperlink>
      <w:r>
        <w:t>. Признать утратившими силу:</w:t>
      </w:r>
    </w:p>
    <w:p w:rsidR="00CA60BE" w:rsidRDefault="00CA60BE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30306);</w:t>
      </w:r>
    </w:p>
    <w:p w:rsidR="00CA60BE" w:rsidRDefault="00CA60BE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 января 2014 г. N 74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5 марта 2014 г., регистрационный N 31524);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ноября 2017 г. N 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12 декабря 2017 г., </w:t>
      </w:r>
      <w:r>
        <w:lastRenderedPageBreak/>
        <w:t>регистрационный N 49221);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10 ноября 2020 г. N 630 "О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 декабря 2020 г., регистрационный N 61179).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4</w:t>
        </w:r>
      </w:hyperlink>
      <w:r>
        <w:t>. Настоящий приказ вступает в силу с 1 сентября 2022 г. и действует до 1 сентября 2028 года.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CA60BE" w:rsidRDefault="00CA60BE">
      <w:pPr>
        <w:pStyle w:val="ConsPlusNormal"/>
        <w:jc w:val="right"/>
      </w:pPr>
      <w:r>
        <w:t>А.В.БУГАЕВ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right"/>
        <w:outlineLvl w:val="0"/>
      </w:pPr>
      <w:r>
        <w:t>Приложение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right"/>
      </w:pPr>
      <w:r>
        <w:t>Утвержден</w:t>
      </w:r>
    </w:p>
    <w:p w:rsidR="00CA60BE" w:rsidRDefault="00CA60BE">
      <w:pPr>
        <w:pStyle w:val="ConsPlusNormal"/>
        <w:jc w:val="right"/>
      </w:pPr>
      <w:r>
        <w:t>приказом Министерства просвещения</w:t>
      </w:r>
    </w:p>
    <w:p w:rsidR="00CA60BE" w:rsidRDefault="00CA60BE">
      <w:pPr>
        <w:pStyle w:val="ConsPlusNormal"/>
        <w:jc w:val="right"/>
      </w:pPr>
      <w:r>
        <w:t>Российской Федерации</w:t>
      </w:r>
    </w:p>
    <w:p w:rsidR="00CA60BE" w:rsidRDefault="00CA60BE">
      <w:pPr>
        <w:pStyle w:val="ConsPlusNormal"/>
        <w:jc w:val="right"/>
      </w:pPr>
      <w:r>
        <w:t>от 8 ноября 2021 г. N 800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</w:pPr>
      <w:bookmarkStart w:id="1" w:name="P41"/>
      <w:bookmarkEnd w:id="1"/>
      <w:r>
        <w:t>ПОРЯДОК</w:t>
      </w:r>
    </w:p>
    <w:p w:rsidR="00CA60BE" w:rsidRDefault="00CA60BE">
      <w:pPr>
        <w:pStyle w:val="ConsPlusTitle"/>
        <w:jc w:val="center"/>
      </w:pPr>
      <w:r>
        <w:t>ПРОВЕДЕНИЯ ГОСУДАРСТВЕННОЙ ИТОГОВОЙ АТТЕСТАЦИИ</w:t>
      </w:r>
    </w:p>
    <w:p w:rsidR="00CA60BE" w:rsidRDefault="00CA60BE">
      <w:pPr>
        <w:pStyle w:val="ConsPlusTitle"/>
        <w:jc w:val="center"/>
      </w:pPr>
      <w:r>
        <w:t>ПО ОБРАЗОВАТЕЛЬНЫМ ПРОГРАММАМ СРЕДНЕГО</w:t>
      </w:r>
    </w:p>
    <w:p w:rsidR="00CA60BE" w:rsidRDefault="00CA60BE">
      <w:pPr>
        <w:pStyle w:val="ConsPlusTitle"/>
        <w:jc w:val="center"/>
      </w:pPr>
      <w:r>
        <w:t>ПРОФЕССИОНАЛЬНОГО ОБРАЗОВАНИЯ</w:t>
      </w:r>
    </w:p>
    <w:p w:rsidR="00CA60BE" w:rsidRDefault="00CA60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60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0BE" w:rsidRDefault="00CA60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60BE" w:rsidRDefault="00CA60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05.05.2022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0BE" w:rsidRDefault="00CA60BE">
            <w:pPr>
              <w:pStyle w:val="ConsPlusNormal"/>
            </w:pPr>
          </w:p>
        </w:tc>
      </w:tr>
    </w:tbl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I. Общие положения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ГИА студентов (курсантов) (далее - выпускники),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</w:t>
      </w:r>
      <w:proofErr w:type="gramEnd"/>
      <w:r>
        <w:t xml:space="preserve"> </w:t>
      </w:r>
      <w:proofErr w:type="gramStart"/>
      <w:r>
        <w:t>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r>
        <w:t>2. Обеспечение проведения ГИА осуществляется образовательными организациями.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3. Образовательные организации используют необходимые для организации образовательной деятельности средства обучения и воспитания при проведении ГИА выпускников.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4. 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hyperlink w:anchor="P168">
        <w:r>
          <w:rPr>
            <w:color w:val="0000FF"/>
          </w:rPr>
          <w:t>пунктом 36</w:t>
        </w:r>
      </w:hyperlink>
      <w:r>
        <w:t xml:space="preserve"> Порядка.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</w:t>
      </w:r>
      <w:r>
        <w:lastRenderedPageBreak/>
        <w:t>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Порядком.</w:t>
      </w:r>
      <w:proofErr w:type="gramEnd"/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II. Формы ГИА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6. ГИА проводится: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а) в форме демонстрационного экзамена для выпускников, осваивающих программы подготовки квалифицированных рабочих, служащих, за исключением программ, указанных в </w:t>
      </w:r>
      <w:hyperlink w:anchor="P6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б) в форме демонстрационного экзамена и защиты дипломного проекта (работы) для выпускников, осваивающих программы подготовки специалистов среднего звена, за исключением программ, указанных в </w:t>
      </w:r>
      <w:hyperlink w:anchor="P6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CA60BE" w:rsidRDefault="00CA60BE">
      <w:pPr>
        <w:pStyle w:val="ConsPlusNormal"/>
        <w:spacing w:before="200"/>
        <w:ind w:firstLine="540"/>
        <w:jc w:val="both"/>
      </w:pPr>
      <w:bookmarkStart w:id="2" w:name="P61"/>
      <w:bookmarkEnd w:id="2"/>
      <w:r>
        <w:t>в) в форме государственного экзамена и (или) защиты дипломного проекта (работы):</w:t>
      </w:r>
    </w:p>
    <w:p w:rsidR="00CA60BE" w:rsidRDefault="00CA60BE">
      <w:pPr>
        <w:pStyle w:val="ConsPlusNormal"/>
        <w:spacing w:before="200"/>
        <w:ind w:firstLine="540"/>
        <w:jc w:val="both"/>
      </w:pPr>
      <w:proofErr w:type="gramStart"/>
      <w:r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</w:t>
      </w:r>
      <w:proofErr w:type="gramEnd"/>
      <w:r>
        <w:t>, непосредственно связанных с движением поездов и маневровой работой,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СПО);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7. ГИА выпускников, осваивающих образовательные программы в области медицинского образования и фармацевтического образования, проводится с учетом требований к аккредитации специалистов, установленных законодательством Российской Федерации в сфере охраны здоровья &lt;1&gt;.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5140).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 xml:space="preserve">8. 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>
        <w:t>сформированности</w:t>
      </w:r>
      <w:proofErr w:type="spellEnd"/>
      <w: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9. Демонстрационный экзамен проводится по двум уровням: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CA60BE" w:rsidRDefault="00CA60BE">
      <w:pPr>
        <w:pStyle w:val="ConsPlusNormal"/>
        <w:spacing w:before="200"/>
        <w:ind w:firstLine="540"/>
        <w:jc w:val="both"/>
      </w:pPr>
      <w:proofErr w:type="gramStart"/>
      <w:r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</w:t>
      </w:r>
      <w:proofErr w:type="spellStart"/>
      <w:r>
        <w:t>Ворлдскиллс</w:t>
      </w:r>
      <w:proofErr w:type="spellEnd"/>
      <w:r>
        <w:t>", устанавливаемых автономной некоммерческой организацией "Агентство развития профессионального мастерства (</w:t>
      </w:r>
      <w:proofErr w:type="spellStart"/>
      <w:r>
        <w:t>Ворлдскиллс</w:t>
      </w:r>
      <w:proofErr w:type="spellEnd"/>
      <w:r>
        <w:t xml:space="preserve"> Россия)" (далее -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</w:t>
      </w:r>
      <w:r>
        <w:lastRenderedPageBreak/>
        <w:t>числе</w:t>
      </w:r>
      <w:proofErr w:type="gramEnd"/>
      <w:r>
        <w:t xml:space="preserve"> </w:t>
      </w:r>
      <w:proofErr w:type="gramStart"/>
      <w:r>
        <w:t>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  <w:proofErr w:type="gramEnd"/>
    </w:p>
    <w:p w:rsidR="00CA60BE" w:rsidRDefault="00CA60B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10.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>
        <w:t>сформированность</w:t>
      </w:r>
      <w:proofErr w:type="spellEnd"/>
      <w:r>
        <w:t xml:space="preserve"> его профессиональных умений и навыков.</w:t>
      </w:r>
    </w:p>
    <w:p w:rsidR="00CA60BE" w:rsidRDefault="00CA60BE">
      <w:pPr>
        <w:pStyle w:val="ConsPlusNormal"/>
        <w:spacing w:before="200"/>
        <w:ind w:firstLine="540"/>
        <w:jc w:val="both"/>
      </w:pPr>
      <w:proofErr w:type="gramStart"/>
      <w:r>
        <w:t xml:space="preserve">Дипломный проект (работа) выпускников, осваивающих образовательные программы в области искусств, предполагает различные виды подготовки, в том числе исполнение сольной программы/сольного номера, исполнение концертной программы с участием в сольных и ансамблевых/ансамблевых и хоровых номерах, </w:t>
      </w:r>
      <w:proofErr w:type="spellStart"/>
      <w:r>
        <w:t>дирижирование</w:t>
      </w:r>
      <w:proofErr w:type="spellEnd"/>
      <w:r>
        <w:t xml:space="preserve"> и работа с хором, участие в спектакле или иное, в соответствии с требованиями, установленными ФГОС СПО по соответствующей специальности.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r>
        <w:t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CA60BE" w:rsidRDefault="00CA60BE">
      <w:pPr>
        <w:pStyle w:val="ConsPlusNormal"/>
        <w:jc w:val="both"/>
      </w:pPr>
      <w:r>
        <w:t xml:space="preserve">(п. 10 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11. Государственный 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III. Подготовка проведения ГИА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 xml:space="preserve">12. </w:t>
      </w:r>
      <w:proofErr w:type="gramStart"/>
      <w: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образования.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r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педагогических работников;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членов </w:t>
      </w:r>
      <w:proofErr w:type="spellStart"/>
      <w:r>
        <w:t>аккредитационных</w:t>
      </w:r>
      <w:proofErr w:type="spellEnd"/>
      <w:r>
        <w:t xml:space="preserve">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 &lt;2&gt;;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</w:t>
      </w:r>
      <w:r>
        <w:lastRenderedPageBreak/>
        <w:t>охраны здоровья граждан в Российской Федерации" (Собрание законодательства Российской Федерации, 2011, N 48, ст. 6724; 2021, N 27, ст. 5140).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экспертов организации, наделенной полномочиями по обеспечению прохождения ГИА в форме демонстрационного экзамена &lt;3&gt;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(далее - эксперты).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A60BE" w:rsidRDefault="00CA60BE">
      <w:pPr>
        <w:pStyle w:val="ConsPlusNormal"/>
        <w:spacing w:before="200"/>
        <w:ind w:firstLine="540"/>
        <w:jc w:val="both"/>
      </w:pPr>
      <w:proofErr w:type="gramStart"/>
      <w:r>
        <w:t xml:space="preserve">&lt;3&gt; </w:t>
      </w:r>
      <w:hyperlink r:id="rId24">
        <w:r>
          <w:rPr>
            <w:color w:val="0000FF"/>
          </w:rPr>
          <w:t>Абзац третий подпункта "а" пункта 10</w:t>
        </w:r>
      </w:hyperlink>
      <w:r>
        <w:t xml:space="preserve"> Правил предоставления из федерального бюджета грантов в форме субсидий некоммерческим организациям, не являющимся государственными (муниципальными) учреждениями, на государственную поддержку развития образования, утвержденных постановлением Правительства Российской Федерации от 16 марта 2021 г. N 389 (Собрание законодательства Российской Федерации, 2021, N 12, ст. 2028; N 34, ст. 6188;</w:t>
      </w:r>
      <w:proofErr w:type="gramEnd"/>
      <w:r>
        <w:t xml:space="preserve"> </w:t>
      </w:r>
      <w:proofErr w:type="gramStart"/>
      <w:r>
        <w:t xml:space="preserve">2022, N 1, ст. 246), </w:t>
      </w:r>
      <w:hyperlink r:id="rId25">
        <w:r>
          <w:rPr>
            <w:color w:val="0000FF"/>
          </w:rPr>
          <w:t>пункт 13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(2022, N 12, ст. 1871).</w:t>
      </w:r>
      <w:proofErr w:type="gramEnd"/>
    </w:p>
    <w:p w:rsidR="00CA60BE" w:rsidRDefault="00CA60BE">
      <w:pPr>
        <w:pStyle w:val="ConsPlusNormal"/>
        <w:jc w:val="both"/>
      </w:pPr>
      <w:r>
        <w:t xml:space="preserve">(сноска введена </w:t>
      </w:r>
      <w:hyperlink r:id="rId2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ind w:firstLine="540"/>
        <w:jc w:val="both"/>
      </w:pPr>
    </w:p>
    <w:p w:rsidR="00CA60BE" w:rsidRDefault="00CA60BE">
      <w:pPr>
        <w:pStyle w:val="ConsPlusNormal"/>
        <w:ind w:firstLine="540"/>
        <w:jc w:val="both"/>
      </w:pPr>
      <w:r>
        <w:t>13. При проведении демонстрационного экзамена в составе ГЭК создается экспертная группа из числа экспертов (далее - экспертная группа).</w:t>
      </w:r>
    </w:p>
    <w:p w:rsidR="00CA60BE" w:rsidRDefault="00CA60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14.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15.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CA60BE" w:rsidRDefault="00CA60BE">
      <w:pPr>
        <w:pStyle w:val="ConsPlusNormal"/>
        <w:spacing w:before="200"/>
        <w:ind w:firstLine="540"/>
        <w:jc w:val="both"/>
      </w:pPr>
      <w:proofErr w:type="gramStart"/>
      <w:r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</w:t>
      </w:r>
      <w:proofErr w:type="gramEnd"/>
      <w:r>
        <w:t xml:space="preserve">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Председатель ГЭК частной образовательной организации утверждается по представлению частной образовательной организации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находится частная образовательная организация.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16.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</w:t>
      </w:r>
      <w:r>
        <w:lastRenderedPageBreak/>
        <w:t>организации или педагогических работников.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17. 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Экспертную группу возглавляет главный эксперт, назначаемый из числа экспертов, включенных в состав ГЭК.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18. К ГИА допускаются выпускники, не имеющие академической задолженности и в полном объеме выполнившие учебный план или индивидуальный учебный план &lt;4&gt;.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A60BE" w:rsidRDefault="00CA60BE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&lt;4&gt;</w:t>
        </w:r>
      </w:hyperlink>
      <w:r>
        <w:t xml:space="preserve"> </w:t>
      </w:r>
      <w:hyperlink r:id="rId32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19.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CA60BE" w:rsidRDefault="00CA60BE">
      <w:pPr>
        <w:pStyle w:val="ConsPlusNormal"/>
        <w:jc w:val="both"/>
      </w:pPr>
      <w:r>
        <w:t xml:space="preserve">(п. 19 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20.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21.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:rsidR="00CA60BE" w:rsidRDefault="00CA60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  <w:proofErr w:type="gramEnd"/>
    </w:p>
    <w:p w:rsidR="00CA60BE" w:rsidRDefault="00CA60B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23. ГИА выпускников не может быть </w:t>
      </w:r>
      <w:proofErr w:type="gramStart"/>
      <w:r>
        <w:t>заменена</w:t>
      </w:r>
      <w:proofErr w:type="gramEnd"/>
      <w:r>
        <w:t xml:space="preserve">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</w:r>
      <w:hyperlink w:anchor="P210">
        <w:r>
          <w:rPr>
            <w:color w:val="0000FF"/>
          </w:rPr>
          <w:t>пунктом 58</w:t>
        </w:r>
      </w:hyperlink>
      <w:r>
        <w:t xml:space="preserve"> Порядка.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24. Программа ГИА утверждается образовательной организацией после обсуждения на заседании педагогического (ученого) совета с участием председателей ГЭК, после чего доводится до сведения выпускников не позднее, чем за шесть месяцев до начала ГИА.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IV. Проведение ГИА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25. Демонстрационный экзамен проводится с использованием комплектов оценочной документации, включенных образовательными организациями в Программу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26.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27.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Выпускники проходят демонстрационный экзамен в центре проведения экзамена в составе экзаменационных групп.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28.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</w:t>
      </w:r>
      <w:proofErr w:type="gramStart"/>
      <w:r>
        <w:t>позднее</w:t>
      </w:r>
      <w:proofErr w:type="gramEnd"/>
      <w:r>
        <w:t xml:space="preserve">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</w:t>
      </w:r>
      <w:proofErr w:type="gramStart"/>
      <w:r>
        <w:t>позднее</w:t>
      </w:r>
      <w:proofErr w:type="gramEnd"/>
      <w:r>
        <w:t xml:space="preserve"> чем за пять рабочих дней до даты проведения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29.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30.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CA60BE" w:rsidRDefault="00CA60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31. Не </w:t>
      </w:r>
      <w:proofErr w:type="gramStart"/>
      <w:r>
        <w:t>позднее</w:t>
      </w:r>
      <w:proofErr w:type="gramEnd"/>
      <w:r>
        <w:t xml:space="preserve">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32.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33. Технический эксперт под подпись знакомит главного эксперта, членов экспертной группы, </w:t>
      </w:r>
      <w:r>
        <w:lastRenderedPageBreak/>
        <w:t>выпускников с требованиями охраны труда и безопасности производства.</w:t>
      </w:r>
    </w:p>
    <w:p w:rsidR="00CA60BE" w:rsidRDefault="00CA60BE">
      <w:pPr>
        <w:pStyle w:val="ConsPlusNormal"/>
        <w:spacing w:before="200"/>
        <w:ind w:firstLine="540"/>
        <w:jc w:val="both"/>
      </w:pPr>
      <w:bookmarkStart w:id="3" w:name="P147"/>
      <w:bookmarkEnd w:id="3"/>
      <w:r>
        <w:t>34. В день проведения демонстрационного экзамена в центре проведения экзамена присутствуют: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а) руководитель (уполномоченный представитель) организации, на базе которой организован центр проведения экзамена;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б) не менее одного члена ГЭК, не считая членов экспертной группы;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в) члены экспертной группы;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г) главный эксперт;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д) представители организаций-партнеров (по согласованию с образовательной организацией);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е) выпускники;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ж) технический эксперт;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и) </w:t>
      </w:r>
      <w:proofErr w:type="spellStart"/>
      <w:r>
        <w:t>тьютор</w:t>
      </w:r>
      <w:proofErr w:type="spellEnd"/>
      <w: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>
        <w:t>тьютор</w:t>
      </w:r>
      <w:proofErr w:type="spellEnd"/>
      <w:r>
        <w:t xml:space="preserve"> (ассистент);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CA60BE" w:rsidRDefault="00CA60B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CA60BE" w:rsidRDefault="00CA60BE">
      <w:pPr>
        <w:pStyle w:val="ConsPlusNormal"/>
        <w:spacing w:before="200"/>
        <w:ind w:firstLine="540"/>
        <w:jc w:val="both"/>
      </w:pPr>
      <w:bookmarkStart w:id="4" w:name="P161"/>
      <w:bookmarkEnd w:id="4"/>
      <w:r>
        <w:t>35. В день проведения демонстрационного экзамена в центре проведения экзамена могут присутствовать: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б) представители оператора (по согласованию с образовательной организацией);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CA60BE" w:rsidRDefault="00CA60BE">
      <w:pPr>
        <w:pStyle w:val="ConsPlusNormal"/>
        <w:spacing w:before="200"/>
        <w:ind w:firstLine="540"/>
        <w:jc w:val="both"/>
      </w:pPr>
      <w:bookmarkStart w:id="5" w:name="P168"/>
      <w:bookmarkEnd w:id="5"/>
      <w:r>
        <w:t xml:space="preserve">36. Лица, указанные в </w:t>
      </w:r>
      <w:hyperlink w:anchor="P147">
        <w:r>
          <w:rPr>
            <w:color w:val="0000FF"/>
          </w:rPr>
          <w:t>пунктах 34</w:t>
        </w:r>
      </w:hyperlink>
      <w:r>
        <w:t xml:space="preserve"> и </w:t>
      </w:r>
      <w:hyperlink w:anchor="P161">
        <w:r>
          <w:rPr>
            <w:color w:val="0000FF"/>
          </w:rPr>
          <w:t>35</w:t>
        </w:r>
      </w:hyperlink>
      <w:r>
        <w:t xml:space="preserve"> Порядка, обязаны: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lastRenderedPageBreak/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37.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38. Члены экспертной группы осуществляют оценку выполнения заданий демонстрационного экзамена самостоятельно.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39. </w:t>
      </w:r>
      <w:proofErr w:type="gramStart"/>
      <w: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</w:t>
      </w:r>
      <w:proofErr w:type="gramEnd"/>
      <w:r>
        <w:t xml:space="preserve"> производственной безопасности.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Главный эксперт может делать заметки о ходе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Главный эксперт обязан находиться в центре проведения экзамена до окончания демонстрационного экзамена, осуществлять </w:t>
      </w:r>
      <w:proofErr w:type="gramStart"/>
      <w:r>
        <w:t>контроль за</w:t>
      </w:r>
      <w:proofErr w:type="gramEnd"/>
      <w:r>
        <w:t xml:space="preserve"> соблюдением лицами, привлеченными к проведению демонстрационного экзамена, выпускниками требований Порядка.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40.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41. Технический экспе</w:t>
      </w:r>
      <w:proofErr w:type="gramStart"/>
      <w:r>
        <w:t>рт впр</w:t>
      </w:r>
      <w:proofErr w:type="gramEnd"/>
      <w:r>
        <w:t>аве: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наблюдать за ходом проведения демонстрационного экзамена;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42. Представитель образовательной организации располагается в изолированном от центра проведения экзамена помещении.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43. Образовательная организация обязана не </w:t>
      </w:r>
      <w:proofErr w:type="gramStart"/>
      <w:r>
        <w:t>позднее</w:t>
      </w:r>
      <w:proofErr w:type="gramEnd"/>
      <w:r>
        <w:t xml:space="preserve">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>
        <w:t>тьютора</w:t>
      </w:r>
      <w:proofErr w:type="spellEnd"/>
      <w:r>
        <w:t xml:space="preserve"> (ассистента).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44. Выпускники вправе: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получить копию задания демонстрационного экзамена на бумажном носителе;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lastRenderedPageBreak/>
        <w:t>Выпускники обязаны: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45.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46. В соответствии с планом проведения демонстрационного экзамена главный эксперт </w:t>
      </w:r>
      <w:proofErr w:type="spellStart"/>
      <w:r>
        <w:t>ознакамливает</w:t>
      </w:r>
      <w:proofErr w:type="spellEnd"/>
      <w:r>
        <w:t xml:space="preserve"> выпускников с заданиями, передает им копии заданий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47.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48.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49.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50.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51.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52.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53.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54.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lastRenderedPageBreak/>
        <w:t>55.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Технический эксперт обеспечивает </w:t>
      </w:r>
      <w:proofErr w:type="gramStart"/>
      <w:r>
        <w:t>контроль за</w:t>
      </w:r>
      <w:proofErr w:type="gramEnd"/>
      <w:r>
        <w:t xml:space="preserve">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56. Выпускник по собственному желанию может завершить выполнение задания досрочно, уведомив об этом главного эксперта.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57.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bookmarkStart w:id="6" w:name="P210"/>
      <w:bookmarkEnd w:id="6"/>
      <w:r>
        <w:t>58.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CA60BE" w:rsidRDefault="00CA60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59. 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 проводятся на открытых заседаниях ГЭК с участием не менее двух третей ее состава.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V. Оценивание результатов ГИА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60.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61. Процедура </w:t>
      </w:r>
      <w:proofErr w:type="gramStart"/>
      <w:r>
        <w:t>оценивания результатов выполнения заданий демонстрационного экзамена</w:t>
      </w:r>
      <w:proofErr w:type="gramEnd"/>
      <w:r>
        <w:t xml:space="preserve">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62.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При выставлении баллов присутствует член ГЭК, не входящий в экспертную группу, присутствие других лиц запрещено.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63. </w:t>
      </w:r>
      <w:proofErr w:type="gramStart"/>
      <w:r>
        <w:t>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Россия)") либо международной организацией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", в том числе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Europe</w:t>
      </w:r>
      <w:proofErr w:type="spellEnd"/>
      <w:r>
        <w:t>" и "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Asia</w:t>
      </w:r>
      <w:proofErr w:type="spellEnd"/>
      <w:r>
        <w:t>", и участника национальной сборной России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</w:t>
      </w:r>
      <w:proofErr w:type="gramEnd"/>
      <w:r>
        <w:t xml:space="preserve"> экзамену в рамках проведения ГИА по данной образовательной программе среднего профессионального образования.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64.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65.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</w:t>
      </w:r>
      <w:r>
        <w:lastRenderedPageBreak/>
        <w:t>его заместителя. При равном числе голосов голос председательствующего на заседании ГЭК является решающим.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66.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67. 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68.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69.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70.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VI. Порядок подачи и рассмотрения апелляций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71.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73. Апелляция рассматривается апелляционной комиссией не позднее трех рабочих дней с момента ее поступления.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74. Состав апелляционной комиссии утверждается образовательной организацией одновременно с утверждением состава ГЭК.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CA60BE" w:rsidRDefault="00CA60BE">
      <w:pPr>
        <w:pStyle w:val="ConsPlusNormal"/>
        <w:jc w:val="both"/>
      </w:pPr>
      <w:r>
        <w:lastRenderedPageBreak/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75. Апелляция рассматривается на заседании апелляционной комиссии с участием не менее двух третей ее состава.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>
        <w:t>конференц-связи</w:t>
      </w:r>
      <w:proofErr w:type="gramEnd"/>
      <w:r>
        <w:t>, а равно посредством предоставления письменных пояснений по поставленным апелляционной комиссией вопросам.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Выпускник, подавший апелляцию, имеет право присутствовать при рассмотрении апелляции.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С несовершеннолетним выпускником имеет право присутствовать один из родителей (законных представителей).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Указанные лица должны при себе иметь документы, удостоверяющие личность.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76. Рассмотрение апелляции не является пересдачей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В последнем случае результаты проведения ГИА подлежат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78. </w:t>
      </w:r>
      <w:proofErr w:type="gramStart"/>
      <w: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CA60BE" w:rsidRDefault="00CA60BE">
      <w:pPr>
        <w:pStyle w:val="ConsPlusNormal"/>
        <w:spacing w:before="200"/>
        <w:ind w:firstLine="540"/>
        <w:jc w:val="both"/>
      </w:pPr>
      <w: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79.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lastRenderedPageBreak/>
        <w:t>80.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81. Решение апелляционной комиссии является окончательным и пересмотру не подлежит.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82.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Title"/>
        <w:jc w:val="center"/>
        <w:outlineLvl w:val="1"/>
      </w:pPr>
      <w:r>
        <w:t>VII. Особенности проведения ГИА для выпускников из числа</w:t>
      </w:r>
    </w:p>
    <w:p w:rsidR="00CA60BE" w:rsidRDefault="00CA60BE">
      <w:pPr>
        <w:pStyle w:val="ConsPlusTitle"/>
        <w:jc w:val="center"/>
      </w:pPr>
      <w:r>
        <w:t>лиц с ограниченными возможностями здоровья, детей-инвалидов</w:t>
      </w:r>
    </w:p>
    <w:p w:rsidR="00CA60BE" w:rsidRDefault="00CA60BE">
      <w:pPr>
        <w:pStyle w:val="ConsPlusTitle"/>
        <w:jc w:val="center"/>
      </w:pPr>
      <w:r>
        <w:t>и инвалидов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>83.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84. При проведении ГИА обеспечивается соблюдение следующих общих требований: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присутствие в аудитории, центре проведения экзамена </w:t>
      </w:r>
      <w:proofErr w:type="spellStart"/>
      <w:r>
        <w:t>тьютора</w:t>
      </w:r>
      <w:proofErr w:type="spellEnd"/>
      <w: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85.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а) для слепых: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б) для слабовидящих: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lastRenderedPageBreak/>
        <w:t>выпускникам для выполнения задания при необходимости предоставляется увеличивающее устройство;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в) для глухих и слабослышащих, с тяжелыми нарушениями речи: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 их желанию государственный экзамен может проводиться в письменной форме;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по их желанию государственный экзамен может проводиться в устной форме;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(далее - справка) &lt;5&gt;.</w:t>
      </w:r>
    </w:p>
    <w:p w:rsidR="00CA60BE" w:rsidRDefault="00CA60B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:rsidR="00CA60BE" w:rsidRDefault="00CA60B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A60BE" w:rsidRDefault="00CA60BE">
      <w:pPr>
        <w:pStyle w:val="ConsPlusNormal"/>
        <w:spacing w:before="200"/>
        <w:ind w:firstLine="540"/>
        <w:jc w:val="both"/>
      </w:pPr>
      <w:hyperlink r:id="rId43">
        <w:proofErr w:type="gramStart"/>
        <w:r>
          <w:rPr>
            <w:color w:val="0000FF"/>
          </w:rPr>
          <w:t>&lt;5&gt;</w:t>
        </w:r>
      </w:hyperlink>
      <w:r>
        <w:t xml:space="preserve"> </w:t>
      </w:r>
      <w:hyperlink r:id="rId44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</w:t>
      </w:r>
      <w:proofErr w:type="gramEnd"/>
      <w:r>
        <w:t xml:space="preserve"> социальной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ind w:firstLine="540"/>
        <w:jc w:val="both"/>
      </w:pPr>
      <w:r>
        <w:t xml:space="preserve">86. Выпускники или родители (законные представители) несовершеннолетних выпускников не </w:t>
      </w:r>
      <w:proofErr w:type="gramStart"/>
      <w:r>
        <w:t>позднее</w:t>
      </w:r>
      <w:proofErr w:type="gramEnd"/>
      <w:r>
        <w:t xml:space="preserve">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jc w:val="both"/>
      </w:pPr>
    </w:p>
    <w:p w:rsidR="00CA60BE" w:rsidRDefault="00CA60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E88" w:rsidRDefault="000F1E88"/>
    <w:sectPr w:rsidR="000F1E88" w:rsidSect="00F5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E"/>
    <w:rsid w:val="000F1E88"/>
    <w:rsid w:val="005A5DC6"/>
    <w:rsid w:val="007812B0"/>
    <w:rsid w:val="00C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6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60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6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60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7693EAF2E515F3BB500183B0E54ED66A5E6F2C9DDB033085F22E39AC316B336DD24EB2741185EF6CC09D0B58K05DM" TargetMode="External"/><Relationship Id="rId18" Type="http://schemas.openxmlformats.org/officeDocument/2006/relationships/hyperlink" Target="consultantplus://offline/ref=BA7693EAF2E515F3BB500183B0E54ED66F5A612D9BDB033085F22E39AC316B337FD216BE74109BEE63D5CB5A1E5A8C2AF1DAD15806923573K75BM" TargetMode="External"/><Relationship Id="rId26" Type="http://schemas.openxmlformats.org/officeDocument/2006/relationships/hyperlink" Target="consultantplus://offline/ref=BA7693EAF2E515F3BB500183B0E54ED66F5A612D9BDB033085F22E39AC316B337FD216BE74109BED63D5CB5A1E5A8C2AF1DAD15806923573K75BM" TargetMode="External"/><Relationship Id="rId39" Type="http://schemas.openxmlformats.org/officeDocument/2006/relationships/hyperlink" Target="consultantplus://offline/ref=C92C73E6030D58E933BA5E70B4BD7F2C4AB3A468746B9C5FCEE003BEAE9B753D435097194696A0D4C5D627746E1D75A7AD256E0F2CE7F773L35BM" TargetMode="External"/><Relationship Id="rId21" Type="http://schemas.openxmlformats.org/officeDocument/2006/relationships/hyperlink" Target="consultantplus://offline/ref=BA7693EAF2E515F3BB500183B0E54ED66F5A612D9BDB033085F22E39AC316B337FD216BE74109BEE6DD5CB5A1E5A8C2AF1DAD15806923573K75BM" TargetMode="External"/><Relationship Id="rId34" Type="http://schemas.openxmlformats.org/officeDocument/2006/relationships/hyperlink" Target="consultantplus://offline/ref=C92C73E6030D58E933BA5E70B4BD7F2C4AB3A468746B9C5FCEE003BEAE9B753D435097194696A0D3C1D627746E1D75A7AD256E0F2CE7F773L35BM" TargetMode="External"/><Relationship Id="rId42" Type="http://schemas.openxmlformats.org/officeDocument/2006/relationships/hyperlink" Target="consultantplus://offline/ref=C92C73E6030D58E933BA5E70B4BD7F2C4AB3A468746B9C5FCEE003BEAE9B753D435097194696A0D2CED627746E1D75A7AD256E0F2CE7F773L35BM" TargetMode="External"/><Relationship Id="rId7" Type="http://schemas.openxmlformats.org/officeDocument/2006/relationships/hyperlink" Target="consultantplus://offline/ref=BA7693EAF2E515F3BB500183B0E54ED66F5A642C9FDA033085F22E39AC316B337FD216BE74109BEE61D5CB5A1E5A8C2AF1DAD15806923573K75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7693EAF2E515F3BB500183B0E54ED66F5A612D9BDB033085F22E39AC316B337FD216BE74109BEE61D5CB5A1E5A8C2AF1DAD15806923573K75BM" TargetMode="External"/><Relationship Id="rId29" Type="http://schemas.openxmlformats.org/officeDocument/2006/relationships/hyperlink" Target="consultantplus://offline/ref=C92C73E6030D58E933BA5E70B4BD7F2C4AB3A468746B9C5FCEE003BEAE9B753D435097194696A0D3C7D627746E1D75A7AD256E0F2CE7F773L35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693EAF2E515F3BB500183B0E54ED66F5964279FDC033085F22E39AC316B337FD216BD701590BB359ACA065A0E9F2AF8DAD3501AK952M" TargetMode="External"/><Relationship Id="rId11" Type="http://schemas.openxmlformats.org/officeDocument/2006/relationships/hyperlink" Target="consultantplus://offline/ref=BA7693EAF2E515F3BB500183B0E54ED66F5A612D9BDB033085F22E39AC316B337FD216BE74109BEE61D5CB5A1E5A8C2AF1DAD15806923573K75BM" TargetMode="External"/><Relationship Id="rId24" Type="http://schemas.openxmlformats.org/officeDocument/2006/relationships/hyperlink" Target="consultantplus://offline/ref=BA7693EAF2E515F3BB500183B0E54ED66F5B632D90DD033085F22E39AC316B337FD216BE74109AEC66D5CB5A1E5A8C2AF1DAD15806923573K75BM" TargetMode="External"/><Relationship Id="rId32" Type="http://schemas.openxmlformats.org/officeDocument/2006/relationships/hyperlink" Target="consultantplus://offline/ref=C92C73E6030D58E933BA5E70B4BD7F2C4AB0A162706C9C5FCEE003BEAE9B753D435097194696A8D0C4D627746E1D75A7AD256E0F2CE7F773L35BM" TargetMode="External"/><Relationship Id="rId37" Type="http://schemas.openxmlformats.org/officeDocument/2006/relationships/hyperlink" Target="consultantplus://offline/ref=C92C73E6030D58E933BA5E70B4BD7F2C4AB3A468746B9C5FCEE003BEAE9B753D435097194696A0D3CED627746E1D75A7AD256E0F2CE7F773L35BM" TargetMode="External"/><Relationship Id="rId40" Type="http://schemas.openxmlformats.org/officeDocument/2006/relationships/hyperlink" Target="consultantplus://offline/ref=C92C73E6030D58E933BA5E70B4BD7F2C4AB3A468746B9C5FCEE003BEAE9B753D435097194696A0D4C5D627746E1D75A7AD256E0F2CE7F773L35B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A7693EAF2E515F3BB500183B0E54ED66F5A612D9BDB033085F22E39AC316B337FD216BE74109BEF62D5CB5A1E5A8C2AF1DAD15806923573K75BM" TargetMode="External"/><Relationship Id="rId15" Type="http://schemas.openxmlformats.org/officeDocument/2006/relationships/hyperlink" Target="consultantplus://offline/ref=BA7693EAF2E515F3BB500183B0E54ED6685D6F219EDE033085F22E39AC316B336DD24EB2741185EF6CC09D0B58K05DM" TargetMode="External"/><Relationship Id="rId23" Type="http://schemas.openxmlformats.org/officeDocument/2006/relationships/hyperlink" Target="consultantplus://offline/ref=BA7693EAF2E515F3BB500183B0E54ED66F5A612D9BDB033085F22E39AC316B337FD216BE74109BED61D5CB5A1E5A8C2AF1DAD15806923573K75BM" TargetMode="External"/><Relationship Id="rId28" Type="http://schemas.openxmlformats.org/officeDocument/2006/relationships/hyperlink" Target="consultantplus://offline/ref=C92C73E6030D58E933BA5E70B4BD7F2C4AB3A468746B9C5FCEE003BEAE9B753D435097194696A0D3C6D627746E1D75A7AD256E0F2CE7F773L35BM" TargetMode="External"/><Relationship Id="rId36" Type="http://schemas.openxmlformats.org/officeDocument/2006/relationships/hyperlink" Target="consultantplus://offline/ref=C92C73E6030D58E933BA5E70B4BD7F2C4AB3A468746B9C5FCEE003BEAE9B753D435097194696A0D3CFD627746E1D75A7AD256E0F2CE7F773L35BM" TargetMode="External"/><Relationship Id="rId10" Type="http://schemas.openxmlformats.org/officeDocument/2006/relationships/hyperlink" Target="consultantplus://offline/ref=BA7693EAF2E515F3BB500183B0E54ED66F5A612D9BDB033085F22E39AC316B337FD216BE74109BEE67D5CB5A1E5A8C2AF1DAD15806923573K75BM" TargetMode="External"/><Relationship Id="rId19" Type="http://schemas.openxmlformats.org/officeDocument/2006/relationships/hyperlink" Target="consultantplus://offline/ref=BA7693EAF2E515F3BB500183B0E54ED66F5B63239EDE033085F22E39AC316B337FD216B9771390BB359ACA065A0E9F2AF8DAD3501AK952M" TargetMode="External"/><Relationship Id="rId31" Type="http://schemas.openxmlformats.org/officeDocument/2006/relationships/hyperlink" Target="consultantplus://offline/ref=C92C73E6030D58E933BA5E70B4BD7F2C4AB3A468746B9C5FCEE003BEAE9B753D435097194696A0D2CED627746E1D75A7AD256E0F2CE7F773L35BM" TargetMode="External"/><Relationship Id="rId44" Type="http://schemas.openxmlformats.org/officeDocument/2006/relationships/hyperlink" Target="consultantplus://offline/ref=C92C73E6030D58E933BA5E70B4BD7F2C4DB5A2687E6F9C5FCEE003BEAE9B753D5150CF154697BED0CFC3712528L45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693EAF2E515F3BB500183B0E54ED6685D6F209BDA033085F22E39AC316B337FD216BE74109BEE67D5CB5A1E5A8C2AF1DAD15806923573K75BM" TargetMode="External"/><Relationship Id="rId14" Type="http://schemas.openxmlformats.org/officeDocument/2006/relationships/hyperlink" Target="consultantplus://offline/ref=BA7693EAF2E515F3BB500183B0E54ED66953622C90DC033085F22E39AC316B336DD24EB2741185EF6CC09D0B58K05DM" TargetMode="External"/><Relationship Id="rId22" Type="http://schemas.openxmlformats.org/officeDocument/2006/relationships/hyperlink" Target="consultantplus://offline/ref=BA7693EAF2E515F3BB500183B0E54ED66F5B63239EDE033085F22E39AC316B337FD216B9771390BB359ACA065A0E9F2AF8DAD3501AK952M" TargetMode="External"/><Relationship Id="rId27" Type="http://schemas.openxmlformats.org/officeDocument/2006/relationships/hyperlink" Target="consultantplus://offline/ref=C92C73E6030D58E933BA5E70B4BD7F2C4AB3A468746B9C5FCEE003BEAE9B753D435097194696A0D3C7D627746E1D75A7AD256E0F2CE7F773L35BM" TargetMode="External"/><Relationship Id="rId30" Type="http://schemas.openxmlformats.org/officeDocument/2006/relationships/hyperlink" Target="consultantplus://offline/ref=C92C73E6030D58E933BA5E70B4BD7F2C4AB3A468746B9C5FCEE003BEAE9B753D435097194696A0D2CED627746E1D75A7AD256E0F2CE7F773L35BM" TargetMode="External"/><Relationship Id="rId35" Type="http://schemas.openxmlformats.org/officeDocument/2006/relationships/hyperlink" Target="consultantplus://offline/ref=C92C73E6030D58E933BA5E70B4BD7F2C4AB3A468746B9C5FCEE003BEAE9B753D435097194696A0D3C0D627746E1D75A7AD256E0F2CE7F773L35BM" TargetMode="External"/><Relationship Id="rId43" Type="http://schemas.openxmlformats.org/officeDocument/2006/relationships/hyperlink" Target="consultantplus://offline/ref=C92C73E6030D58E933BA5E70B4BD7F2C4AB3A468746B9C5FCEE003BEAE9B753D435097194696A0D2CED627746E1D75A7AD256E0F2CE7F773L35BM" TargetMode="External"/><Relationship Id="rId8" Type="http://schemas.openxmlformats.org/officeDocument/2006/relationships/hyperlink" Target="consultantplus://offline/ref=BA7693EAF2E515F3BB500183B0E54ED66F5A642C9FDA033085F22E39AC316B337FD216BE751BCFBE208B920B5B118122EEC6D152K15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7693EAF2E515F3BB500183B0E54ED6685D6F209BDA033085F22E39AC316B336DD24EB2741185EF6CC09D0B58K05DM" TargetMode="External"/><Relationship Id="rId17" Type="http://schemas.openxmlformats.org/officeDocument/2006/relationships/hyperlink" Target="consultantplus://offline/ref=BA7693EAF2E515F3BB500183B0E54ED66F5A612D9BDB033085F22E39AC316B337FD216BE74109BEE62D5CB5A1E5A8C2AF1DAD15806923573K75BM" TargetMode="External"/><Relationship Id="rId25" Type="http://schemas.openxmlformats.org/officeDocument/2006/relationships/hyperlink" Target="consultantplus://offline/ref=BA7693EAF2E515F3BB500183B0E54ED66F5A672C9AD8033085F22E39AC316B337FD216BE74109BEC66D5CB5A1E5A8C2AF1DAD15806923573K75BM" TargetMode="External"/><Relationship Id="rId33" Type="http://schemas.openxmlformats.org/officeDocument/2006/relationships/hyperlink" Target="consultantplus://offline/ref=C92C73E6030D58E933BA5E70B4BD7F2C4AB3A468746B9C5FCEE003BEAE9B753D435097194696A0D3C4D627746E1D75A7AD256E0F2CE7F773L35BM" TargetMode="External"/><Relationship Id="rId38" Type="http://schemas.openxmlformats.org/officeDocument/2006/relationships/hyperlink" Target="consultantplus://offline/ref=C92C73E6030D58E933BA5E70B4BD7F2C4AB3A468746B9C5FCEE003BEAE9B753D435097194696A0D4C7D627746E1D75A7AD256E0F2CE7F773L35BM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A7693EAF2E515F3BB500183B0E54ED66F5A612D9BDB033085F22E39AC316B337FD216BE74109BEE6CD5CB5A1E5A8C2AF1DAD15806923573K75BM" TargetMode="External"/><Relationship Id="rId41" Type="http://schemas.openxmlformats.org/officeDocument/2006/relationships/hyperlink" Target="consultantplus://offline/ref=C92C73E6030D58E933BA5E70B4BD7F2C4AB3A468746B9C5FCEE003BEAE9B753D435097194696A0D4C4D627746E1D75A7AD256E0F2CE7F773L35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8549</Words>
  <Characters>48731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Просвирина Дарья Владимировна</dc:creator>
  <cp:lastModifiedBy>Просвирина Дарья Владимировна</cp:lastModifiedBy>
  <cp:revision>1</cp:revision>
  <dcterms:created xsi:type="dcterms:W3CDTF">2022-08-01T12:57:00Z</dcterms:created>
  <dcterms:modified xsi:type="dcterms:W3CDTF">2022-08-01T12:58:00Z</dcterms:modified>
</cp:coreProperties>
</file>